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F" w:rsidRPr="009B4FCF" w:rsidRDefault="009B4FCF" w:rsidP="009B4FC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7735" w:rsidRDefault="007F7735" w:rsidP="007F7735">
      <w:pPr>
        <w:spacing w:before="120" w:after="120"/>
        <w:jc w:val="center"/>
        <w:rPr>
          <w:rFonts w:ascii="Calibri" w:eastAsia="Times New Roman" w:hAnsi="Calibri" w:cs="Calibri"/>
          <w:b/>
          <w:bCs/>
          <w:color w:val="FF0000"/>
          <w:lang w:eastAsia="el-GR"/>
        </w:rPr>
      </w:pPr>
    </w:p>
    <w:p w:rsidR="007F7735" w:rsidRPr="007F7735" w:rsidRDefault="007F7735" w:rsidP="007F7735">
      <w:pPr>
        <w:spacing w:before="120" w:after="120"/>
        <w:jc w:val="center"/>
        <w:rPr>
          <w:rFonts w:ascii="Calibri" w:eastAsia="Times New Roman" w:hAnsi="Calibri" w:cs="Calibri"/>
          <w:b/>
          <w:bCs/>
          <w:color w:val="1D1B11" w:themeColor="background2" w:themeShade="1A"/>
          <w:sz w:val="24"/>
          <w:lang w:eastAsia="el-GR"/>
        </w:rPr>
      </w:pPr>
      <w:r>
        <w:rPr>
          <w:rFonts w:ascii="Calibri" w:eastAsia="Times New Roman" w:hAnsi="Calibri" w:cs="Calibri"/>
          <w:b/>
          <w:bCs/>
          <w:color w:val="1D1B11" w:themeColor="background2" w:themeShade="1A"/>
          <w:sz w:val="24"/>
          <w:lang w:eastAsia="el-GR"/>
        </w:rPr>
        <w:t>«</w:t>
      </w:r>
      <w:r w:rsidRPr="007F7735">
        <w:rPr>
          <w:rFonts w:ascii="Calibri" w:eastAsia="Times New Roman" w:hAnsi="Calibri" w:cs="Calibri"/>
          <w:b/>
          <w:bCs/>
          <w:color w:val="1D1B11" w:themeColor="background2" w:themeShade="1A"/>
          <w:sz w:val="24"/>
          <w:lang w:eastAsia="el-GR"/>
        </w:rPr>
        <w:t>Σύμφωνα με την  13214/30-11-2017 (Β΄4268) όπως τροποποιήθηκε και ισχύει</w:t>
      </w:r>
      <w:r>
        <w:rPr>
          <w:rFonts w:ascii="Calibri" w:eastAsia="Times New Roman" w:hAnsi="Calibri" w:cs="Calibri"/>
          <w:b/>
          <w:bCs/>
          <w:color w:val="1D1B11" w:themeColor="background2" w:themeShade="1A"/>
          <w:sz w:val="24"/>
          <w:lang w:eastAsia="el-GR"/>
        </w:rPr>
        <w:t>.»</w:t>
      </w:r>
    </w:p>
    <w:p w:rsidR="007F7735" w:rsidRDefault="007F7735" w:rsidP="007F7735">
      <w:pPr>
        <w:shd w:val="clear" w:color="auto" w:fill="FFFFFF"/>
        <w:spacing w:before="120" w:after="200" w:line="253" w:lineRule="atLeast"/>
        <w:ind w:left="0"/>
        <w:rPr>
          <w:rFonts w:ascii="Calibri" w:eastAsia="Times New Roman" w:hAnsi="Calibri" w:cs="Calibri"/>
          <w:b/>
          <w:bCs/>
          <w:color w:val="FF0000"/>
          <w:lang w:eastAsia="el-GR"/>
        </w:rPr>
      </w:pPr>
    </w:p>
    <w:p w:rsidR="009B4FCF" w:rsidRPr="009B4FCF" w:rsidRDefault="009B4FCF" w:rsidP="009B4FCF">
      <w:pPr>
        <w:shd w:val="clear" w:color="auto" w:fill="FFFFFF"/>
        <w:spacing w:before="120" w:after="200" w:line="253" w:lineRule="atLeast"/>
        <w:ind w:left="0"/>
        <w:jc w:val="center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Calibri" w:eastAsia="Times New Roman" w:hAnsi="Calibri" w:cs="Calibri"/>
          <w:b/>
          <w:bCs/>
          <w:color w:val="FF0000"/>
          <w:lang w:eastAsia="el-GR"/>
        </w:rPr>
        <w:t>Άρθρο 42</w:t>
      </w:r>
    </w:p>
    <w:p w:rsidR="009B4FCF" w:rsidRPr="009B4FCF" w:rsidRDefault="009B4FCF" w:rsidP="009B4FCF">
      <w:pPr>
        <w:shd w:val="clear" w:color="auto" w:fill="FFFFFF"/>
        <w:spacing w:before="120" w:after="200" w:line="253" w:lineRule="atLeast"/>
        <w:ind w:left="0"/>
        <w:jc w:val="center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Calibri" w:eastAsia="Times New Roman" w:hAnsi="Calibri" w:cs="Calibri"/>
          <w:b/>
          <w:bCs/>
          <w:color w:val="FF0000"/>
          <w:lang w:eastAsia="el-GR"/>
        </w:rPr>
        <w:t>Υποχρεώσεις δικαιούχων για θέματα δημοσιότητας και ενημέρωσης</w:t>
      </w:r>
    </w:p>
    <w:p w:rsidR="009B4FCF" w:rsidRPr="009B4FCF" w:rsidRDefault="009B4FCF" w:rsidP="009B4FCF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B4FCF">
        <w:rPr>
          <w:rFonts w:ascii="Arial" w:eastAsia="Times New Roman" w:hAnsi="Arial" w:cs="Arial"/>
          <w:color w:val="0070C0"/>
          <w:sz w:val="24"/>
          <w:szCs w:val="24"/>
          <w:lang w:eastAsia="el-GR"/>
        </w:rPr>
        <w:t>  1.Σύμφωνα με τους Εκτελεστικούς Κανονισμούς (ΕΕ) αριθ. 808/2014 (Άρθρο 13, Παράρτημα ΙΙΙ) και αριθ. 669/2016 (Άρθρο 1, Παράρτημα ΙΙΙ), οι δικαιούχοι πράξεων που συγχρηματοδοτούνται από το ΠΑΑ 2014-2020,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(ΕΓΤΑΑ). Η μη τήρηση των ελάχιστων υποχρεωτικών κανόνων ενημέρωσης επισύρει κυρώσεις από τα ευρωπαϊκά και εθνικά όργανα ελέγχου.</w:t>
      </w:r>
    </w:p>
    <w:p w:rsidR="009B4FCF" w:rsidRPr="009B4FCF" w:rsidRDefault="009B4FCF" w:rsidP="009B4FCF">
      <w:pPr>
        <w:shd w:val="clear" w:color="auto" w:fill="FFFFFF"/>
        <w:spacing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Calibri" w:eastAsia="Times New Roman" w:hAnsi="Calibri" w:cs="Calibri"/>
          <w:color w:val="0070C0"/>
          <w:lang w:eastAsia="el-GR"/>
        </w:rPr>
        <w:t xml:space="preserve">  2.Οι κατ’ ελάχιστον υποχρεώσεις των δικαιούχων του </w:t>
      </w:r>
      <w:proofErr w:type="spellStart"/>
      <w:r w:rsidRPr="009B4FCF">
        <w:rPr>
          <w:rFonts w:ascii="Calibri" w:eastAsia="Times New Roman" w:hAnsi="Calibri" w:cs="Calibri"/>
          <w:color w:val="0070C0"/>
          <w:lang w:eastAsia="el-GR"/>
        </w:rPr>
        <w:t>Υπομέτρου</w:t>
      </w:r>
      <w:proofErr w:type="spellEnd"/>
      <w:r w:rsidRPr="009B4FCF">
        <w:rPr>
          <w:rFonts w:ascii="Calibri" w:eastAsia="Times New Roman" w:hAnsi="Calibri" w:cs="Calibri"/>
          <w:color w:val="0070C0"/>
          <w:lang w:eastAsia="el-GR"/>
        </w:rPr>
        <w:t xml:space="preserve"> 19.2 (ιδιωτικές παρεμβάσεις) ως προς την τήρηση των κανόνων δημοσιότητας και ενημέρωσης είναι:</w:t>
      </w:r>
    </w:p>
    <w:p w:rsidR="009B4FCF" w:rsidRPr="009B4FCF" w:rsidRDefault="009B4FCF" w:rsidP="009B4FCF">
      <w:pPr>
        <w:shd w:val="clear" w:color="auto" w:fill="FFFFFF"/>
        <w:spacing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Arial" w:eastAsia="Times New Roman" w:hAnsi="Arial" w:cs="Arial"/>
          <w:color w:val="0070C0"/>
          <w:sz w:val="24"/>
          <w:szCs w:val="24"/>
          <w:lang w:eastAsia="el-GR"/>
        </w:rPr>
        <w:t>α. Για πράξεις των οποίων η συνολική δημόσια δαπάνη είναι 50.000 –500.000 Ευρώ, απαιτείται η ανάρτηση τουλάχιστον </w:t>
      </w:r>
      <w:r w:rsidRPr="009B4FCF">
        <w:rPr>
          <w:rFonts w:ascii="Calibri" w:eastAsia="Times New Roman" w:hAnsi="Calibri" w:cs="Calibri"/>
          <w:color w:val="222222"/>
          <w:lang w:eastAsia="el-GR"/>
        </w:rPr>
        <w:t>μίας</w:t>
      </w:r>
      <w:r w:rsidRPr="009B4FCF">
        <w:rPr>
          <w:rFonts w:ascii="Arial" w:eastAsia="Times New Roman" w:hAnsi="Arial" w:cs="Arial"/>
          <w:color w:val="0070C0"/>
          <w:sz w:val="24"/>
          <w:szCs w:val="24"/>
          <w:lang w:eastAsia="el-GR"/>
        </w:rPr>
        <w:t> αφίσας ελάχιστου μεγέθους Α3 ή πινακίδας με πληροφορίες σχετικά με την πράξη, σε σημείο εύκολα ορατό, επισημαίνοντας τη χρηματοδοτική συνδρομή από την Ευρωπαϊκή Ένωση και την Ελλάδα.</w:t>
      </w:r>
    </w:p>
    <w:p w:rsidR="009B4FCF" w:rsidRPr="009B4FCF" w:rsidRDefault="009B4FCF" w:rsidP="009B4FCF">
      <w:pPr>
        <w:shd w:val="clear" w:color="auto" w:fill="FFFFFF"/>
        <w:spacing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Arial" w:eastAsia="Times New Roman" w:hAnsi="Arial" w:cs="Arial"/>
          <w:color w:val="0070C0"/>
          <w:sz w:val="24"/>
          <w:szCs w:val="24"/>
          <w:lang w:eastAsia="el-GR"/>
        </w:rPr>
        <w:t>β. Για πράξεις που αφορούν σε αγορά εξοπλισμού, ή υποδομές ή κατασκευαστικά έργα, των οποίων η συνολική δημόσια δαπάνη υπερβαίνει τις 500.000 Ευρώ, ο δικαιούχος τοποθετεί προσωρινή πινακίδα σημαντικού μεγέθους.</w:t>
      </w:r>
    </w:p>
    <w:p w:rsidR="009B4FCF" w:rsidRPr="009B4FCF" w:rsidRDefault="009B4FCF" w:rsidP="009B4FCF">
      <w:pPr>
        <w:shd w:val="clear" w:color="auto" w:fill="FFFFFF"/>
        <w:spacing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Arial" w:eastAsia="Times New Roman" w:hAnsi="Arial" w:cs="Arial"/>
          <w:color w:val="0070C0"/>
          <w:sz w:val="24"/>
          <w:szCs w:val="24"/>
          <w:lang w:eastAsia="el-GR"/>
        </w:rPr>
        <w:t>γ. Το αργότερο εντός τριών μηνών από την ολοκλήρωση της πράξης, ο δικαιούχος τοποθετεί μόνιμη αναμνηστική πλάκα ή πινακίδα σημαντικού μεγέθους, σε σημείο εύκολα ορατό από το κοινό, όπου επισημαίνεται τουλάχιστον η περιγραφή της πράξης και η χρηματοδοτική συνδρομή της Ευρωπαϊκής Ένωσης και της Ελλάδας. Το υλικό κατασκευής και ο τρόπος τοποθέτησης των μόνιμων πινακίδων θα πρέπει να εξασφαλίζουν τη μόνιμη εγκατάστασή τους. Εφόσον η επεξηγηματική πινακίδα που τοποθετείται κατά την εκτέλεση του έργου έχει μόνιμο χαρακτήρα, δεν είναι απαραίτητη η τοποθέτηση αναμνηστικής πλάκας.</w:t>
      </w:r>
    </w:p>
    <w:p w:rsidR="009B4FCF" w:rsidRPr="009B4FCF" w:rsidRDefault="009B4FCF" w:rsidP="009B4FCF">
      <w:pPr>
        <w:shd w:val="clear" w:color="auto" w:fill="FFFFFF"/>
        <w:spacing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</w:p>
    <w:p w:rsidR="009B4FCF" w:rsidRPr="009B4FCF" w:rsidRDefault="009B4FCF" w:rsidP="009B4FCF">
      <w:pPr>
        <w:shd w:val="clear" w:color="auto" w:fill="FFFFFF"/>
        <w:spacing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Επίσης  στο Παράρτημα ΙΙΙ.1 της Πρόσκλησης "Υπόδειγμα Πινακίδας" πέραν της μορφής που πρέπει να έχει, αναφέρονται όλες οι λεπτομέρειες σχετικά το μέγεθος , το υλικό για τα αυτοκόλλητα  και τη γραμματοσειρά.</w:t>
      </w:r>
      <w:r w:rsidR="001E6A1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9B4FC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Συγκεκριμένα :</w:t>
      </w:r>
    </w:p>
    <w:p w:rsidR="009B4FCF" w:rsidRPr="009B4FCF" w:rsidRDefault="009B4FCF" w:rsidP="009B4FCF">
      <w:pPr>
        <w:shd w:val="clear" w:color="auto" w:fill="FFFFFF"/>
        <w:spacing w:before="120"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Οι διαστάσεις της αφίσας ή της επεξηγηματικής πινακίδας προτείνεται να είναι τουλάχιστον οι παρακάτω:</w:t>
      </w:r>
    </w:p>
    <w:p w:rsidR="009B4FCF" w:rsidRPr="009B4FCF" w:rsidRDefault="009B4FCF" w:rsidP="009B4FCF">
      <w:pPr>
        <w:shd w:val="clear" w:color="auto" w:fill="FFFFFF"/>
        <w:spacing w:before="120" w:line="240" w:lineRule="auto"/>
        <w:ind w:left="72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Symbol" w:eastAsia="Times New Roman" w:hAnsi="Symbol" w:cs="Calibri"/>
          <w:color w:val="222222"/>
          <w:sz w:val="20"/>
          <w:szCs w:val="20"/>
          <w:lang w:eastAsia="el-GR"/>
        </w:rPr>
        <w:t></w:t>
      </w:r>
      <w:r w:rsidRPr="009B4FCF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9B4FCF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Εάν ο συνολικός προϋπολογισμός είναι πάνω από 500.000 Ευρώ, οι διαστάσεις πρέπει να είναι 1,50 μ. πλάτος Χ 2 μ. ύψος.</w:t>
      </w:r>
    </w:p>
    <w:p w:rsidR="009B4FCF" w:rsidRPr="009B4FCF" w:rsidRDefault="009B4FCF" w:rsidP="009B4FCF">
      <w:pPr>
        <w:shd w:val="clear" w:color="auto" w:fill="FFFFFF"/>
        <w:spacing w:before="120" w:line="240" w:lineRule="auto"/>
        <w:ind w:left="72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Symbol" w:eastAsia="Times New Roman" w:hAnsi="Symbol" w:cs="Calibri"/>
          <w:color w:val="222222"/>
          <w:sz w:val="20"/>
          <w:szCs w:val="20"/>
          <w:lang w:eastAsia="el-GR"/>
        </w:rPr>
        <w:lastRenderedPageBreak/>
        <w:t></w:t>
      </w:r>
      <w:r w:rsidRPr="009B4FCF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9B4FCF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Εάν ο συνολικός προϋπολογισμός είναι άνω των 100.000 Ευρώ, πρέπει να είναι 90 εκατ. πλάτος Χ 70 εκατ. ύψος.</w:t>
      </w:r>
    </w:p>
    <w:p w:rsidR="009B4FCF" w:rsidRPr="009B4FCF" w:rsidRDefault="009B4FCF" w:rsidP="009B4FCF">
      <w:pPr>
        <w:shd w:val="clear" w:color="auto" w:fill="FFFFFF"/>
        <w:spacing w:before="120" w:line="240" w:lineRule="auto"/>
        <w:ind w:left="72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Symbol" w:eastAsia="Times New Roman" w:hAnsi="Symbol" w:cs="Calibri"/>
          <w:color w:val="222222"/>
          <w:sz w:val="20"/>
          <w:szCs w:val="20"/>
          <w:lang w:eastAsia="el-GR"/>
        </w:rPr>
        <w:t></w:t>
      </w:r>
      <w:r w:rsidRPr="009B4FCF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9B4FCF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πλάτος Χ 42 εκατ. ύψος. </w:t>
      </w:r>
    </w:p>
    <w:p w:rsidR="009B4FCF" w:rsidRPr="009B4FCF" w:rsidRDefault="009B4FCF" w:rsidP="009B4FCF">
      <w:pPr>
        <w:shd w:val="clear" w:color="auto" w:fill="FFFFFF"/>
        <w:spacing w:before="120" w:after="200" w:line="253" w:lineRule="atLeast"/>
        <w:ind w:left="72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 </w:t>
      </w:r>
    </w:p>
    <w:p w:rsidR="009B4FCF" w:rsidRPr="009B4FCF" w:rsidRDefault="009B4FCF" w:rsidP="009B4FCF">
      <w:pPr>
        <w:shd w:val="clear" w:color="auto" w:fill="FFFFFF"/>
        <w:spacing w:before="120"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l-GR"/>
        </w:rPr>
        <w:t>Γραφικά:</w:t>
      </w:r>
      <w:r w:rsidRPr="009B4FCF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 Αυτοκόλλητα βινύλια υψηλής αντοχής (για πινακίδες)</w:t>
      </w:r>
    </w:p>
    <w:p w:rsidR="009B4FCF" w:rsidRPr="009B4FCF" w:rsidRDefault="009B4FCF" w:rsidP="009B4FCF">
      <w:pPr>
        <w:shd w:val="clear" w:color="auto" w:fill="FFFFFF"/>
        <w:spacing w:before="120"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l-GR"/>
        </w:rPr>
        <w:t>Γραμματοσειρά: </w:t>
      </w:r>
      <w:r w:rsidRPr="009B4FCF">
        <w:rPr>
          <w:rFonts w:ascii="Tahoma" w:eastAsia="Times New Roman" w:hAnsi="Tahoma" w:cs="Tahoma"/>
          <w:color w:val="222222"/>
          <w:sz w:val="20"/>
          <w:szCs w:val="20"/>
          <w:lang w:val="en-GB" w:eastAsia="el-GR"/>
        </w:rPr>
        <w:t>Arial</w:t>
      </w:r>
      <w:r w:rsidRPr="009B4FCF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 μαύρη</w:t>
      </w:r>
    </w:p>
    <w:p w:rsidR="009B4FCF" w:rsidRPr="009B4FCF" w:rsidRDefault="009B4FCF" w:rsidP="009B4FCF">
      <w:pPr>
        <w:shd w:val="clear" w:color="auto" w:fill="FFFFFF"/>
        <w:spacing w:before="120" w:after="200" w:line="253" w:lineRule="atLeast"/>
        <w:ind w:left="0"/>
        <w:rPr>
          <w:rFonts w:ascii="Calibri" w:eastAsia="Times New Roman" w:hAnsi="Calibri" w:cs="Calibri"/>
          <w:color w:val="222222"/>
          <w:lang w:eastAsia="el-GR"/>
        </w:rPr>
      </w:pPr>
      <w:r w:rsidRPr="009B4FCF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l-GR"/>
        </w:rPr>
        <w:t>Υπόβαθρο (φόντο):</w:t>
      </w:r>
      <w:r w:rsidRPr="009B4FCF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 λευκό</w:t>
      </w:r>
    </w:p>
    <w:p w:rsidR="00976BB8" w:rsidRDefault="00976BB8">
      <w:pPr>
        <w:rPr>
          <w:lang w:val="en-US"/>
        </w:rPr>
      </w:pPr>
    </w:p>
    <w:p w:rsidR="009B4FCF" w:rsidRDefault="009B4FCF" w:rsidP="009B4FCF">
      <w:pPr>
        <w:jc w:val="center"/>
        <w:rPr>
          <w:b/>
        </w:rPr>
      </w:pPr>
      <w:r w:rsidRPr="009B4FCF">
        <w:rPr>
          <w:b/>
        </w:rPr>
        <w:t>ΒΑΣΙΚΟΙ ΣΤΟΧΟΙ ΠΙΝΑΚΙΔΑΣ</w:t>
      </w:r>
    </w:p>
    <w:p w:rsidR="009B4FCF" w:rsidRDefault="009B4FCF" w:rsidP="009B4FCF">
      <w:pPr>
        <w:jc w:val="center"/>
        <w:rPr>
          <w:b/>
        </w:rPr>
      </w:pPr>
    </w:p>
    <w:p w:rsidR="009B4FCF" w:rsidRDefault="009B4FCF" w:rsidP="009B4FCF">
      <w:pPr>
        <w:jc w:val="center"/>
        <w:rPr>
          <w:b/>
        </w:rPr>
      </w:pPr>
    </w:p>
    <w:p w:rsid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</w:pPr>
    </w:p>
    <w:p w:rsid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Υποδράση</w:t>
      </w:r>
      <w:proofErr w:type="spellEnd"/>
      <w:r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19.2.2.2</w:t>
      </w:r>
    </w:p>
    <w:p w:rsidR="009B4FCF" w:rsidRDefault="008F2480" w:rsidP="009B4FCF">
      <w:pPr>
        <w:shd w:val="clear" w:color="auto" w:fill="FFFFFF"/>
        <w:spacing w:line="240" w:lineRule="auto"/>
        <w:ind w:left="0"/>
        <w:jc w:val="left"/>
        <w:rPr>
          <w:rFonts w:cs="Calibri"/>
        </w:rPr>
      </w:pPr>
      <w:r>
        <w:rPr>
          <w:rFonts w:cs="Calibri"/>
        </w:rPr>
        <w:t>«</w:t>
      </w:r>
      <w:r w:rsidRPr="00AF1546">
        <w:rPr>
          <w:rFonts w:ascii="Calibri" w:eastAsia="Calibri" w:hAnsi="Calibri" w:cs="Calibri"/>
        </w:rPr>
        <w:t xml:space="preserve">Η βελτίωση της ανταγωνιστικότητας της αλυσίδας αξίας του </w:t>
      </w:r>
      <w:proofErr w:type="spellStart"/>
      <w:r w:rsidRPr="00AF1546">
        <w:rPr>
          <w:rFonts w:ascii="Calibri" w:eastAsia="Calibri" w:hAnsi="Calibri" w:cs="Calibri"/>
        </w:rPr>
        <w:t>αγροδιατροφικού</w:t>
      </w:r>
      <w:proofErr w:type="spellEnd"/>
      <w:r w:rsidRPr="00AF1546">
        <w:rPr>
          <w:rFonts w:ascii="Calibri" w:eastAsia="Calibri" w:hAnsi="Calibri" w:cs="Calibri"/>
        </w:rPr>
        <w:t xml:space="preserve"> τομέα</w:t>
      </w:r>
      <w:r>
        <w:rPr>
          <w:rFonts w:cs="Calibri"/>
        </w:rPr>
        <w:t>»</w:t>
      </w:r>
    </w:p>
    <w:p w:rsidR="008F2480" w:rsidRDefault="008F2480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</w:pPr>
    </w:p>
    <w:p w:rsidR="009B4FCF" w:rsidRP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  <w:proofErr w:type="spellStart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Υποδράση</w:t>
      </w:r>
      <w:proofErr w:type="spellEnd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19.2.2.3 &amp; 19.2.3.3</w:t>
      </w:r>
      <w:r w:rsidRPr="009B4FCF">
        <w:rPr>
          <w:rFonts w:ascii="Calibri" w:eastAsia="Times New Roman" w:hAnsi="Calibri" w:cs="Calibri"/>
          <w:b/>
          <w:bCs/>
          <w:color w:val="000000"/>
          <w:lang w:eastAsia="el-GR"/>
        </w:rPr>
        <w:t> </w:t>
      </w:r>
    </w:p>
    <w:p w:rsid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  <w:r w:rsidRPr="009B4FCF">
        <w:rPr>
          <w:rFonts w:ascii="Calibri" w:eastAsia="Times New Roman" w:hAnsi="Calibri" w:cs="Calibri"/>
          <w:color w:val="000000"/>
          <w:lang w:eastAsia="el-GR"/>
        </w:rPr>
        <w:t xml:space="preserve">"Βελτίωση της ελκυστικότητας της περιοχής παρέμβασης και ενίσχυση του τουριστικού </w:t>
      </w:r>
    </w:p>
    <w:p w:rsid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  <w:r w:rsidRPr="009B4FCF">
        <w:rPr>
          <w:rFonts w:ascii="Calibri" w:eastAsia="Times New Roman" w:hAnsi="Calibri" w:cs="Calibri"/>
          <w:color w:val="000000"/>
          <w:lang w:eastAsia="el-GR"/>
        </w:rPr>
        <w:t>προϊόντος"</w:t>
      </w:r>
    </w:p>
    <w:p w:rsid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</w:p>
    <w:p w:rsidR="009B4FCF" w:rsidRP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</w:pPr>
      <w:proofErr w:type="spellStart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Υποδράση</w:t>
      </w:r>
      <w:proofErr w:type="spellEnd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19.2.3.1</w:t>
      </w:r>
    </w:p>
    <w:p w:rsidR="008F2480" w:rsidRDefault="008F2480" w:rsidP="008F2480">
      <w:pPr>
        <w:shd w:val="clear" w:color="auto" w:fill="FFFFFF"/>
        <w:spacing w:line="240" w:lineRule="auto"/>
        <w:ind w:left="0"/>
        <w:jc w:val="left"/>
        <w:rPr>
          <w:rFonts w:cs="Calibri"/>
        </w:rPr>
      </w:pPr>
      <w:r>
        <w:rPr>
          <w:rFonts w:cs="Calibri"/>
        </w:rPr>
        <w:t>«</w:t>
      </w:r>
      <w:r w:rsidRPr="00AF1546">
        <w:rPr>
          <w:rFonts w:ascii="Calibri" w:eastAsia="Calibri" w:hAnsi="Calibri" w:cs="Calibri"/>
        </w:rPr>
        <w:t xml:space="preserve">Η βελτίωση της ανταγωνιστικότητας της αλυσίδας αξίας του </w:t>
      </w:r>
      <w:proofErr w:type="spellStart"/>
      <w:r w:rsidRPr="00AF1546">
        <w:rPr>
          <w:rFonts w:ascii="Calibri" w:eastAsia="Calibri" w:hAnsi="Calibri" w:cs="Calibri"/>
        </w:rPr>
        <w:t>αγροδιατροφικού</w:t>
      </w:r>
      <w:proofErr w:type="spellEnd"/>
      <w:r w:rsidRPr="00AF1546">
        <w:rPr>
          <w:rFonts w:ascii="Calibri" w:eastAsia="Calibri" w:hAnsi="Calibri" w:cs="Calibri"/>
        </w:rPr>
        <w:t xml:space="preserve"> τομέα</w:t>
      </w:r>
      <w:r>
        <w:rPr>
          <w:rFonts w:cs="Calibri"/>
        </w:rPr>
        <w:t>»</w:t>
      </w:r>
    </w:p>
    <w:p w:rsid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</w:p>
    <w:p w:rsidR="009B4FCF" w:rsidRP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</w:pPr>
      <w:proofErr w:type="spellStart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Υποδράση</w:t>
      </w:r>
      <w:proofErr w:type="spellEnd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19.2.2.4</w:t>
      </w:r>
    </w:p>
    <w:p w:rsidR="009B4FCF" w:rsidRDefault="008F2480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val="en-US" w:eastAsia="el-GR"/>
        </w:rPr>
      </w:pPr>
      <w:r w:rsidRPr="009B4FCF">
        <w:rPr>
          <w:rFonts w:ascii="Calibri" w:eastAsia="Times New Roman" w:hAnsi="Calibri" w:cs="Calibri"/>
          <w:color w:val="000000"/>
          <w:lang w:eastAsia="el-GR"/>
        </w:rPr>
        <w:t>"Διαφοροποίηση και ενδυνάμωση τοπικής οικονομίας</w:t>
      </w:r>
    </w:p>
    <w:p w:rsidR="008F2480" w:rsidRPr="009B4FCF" w:rsidRDefault="008F2480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val="en-US" w:eastAsia="el-GR"/>
        </w:rPr>
      </w:pPr>
    </w:p>
    <w:p w:rsidR="009B4FCF" w:rsidRP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  <w:proofErr w:type="spellStart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Υποδράση</w:t>
      </w:r>
      <w:proofErr w:type="spellEnd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19.2.3.4 </w:t>
      </w:r>
    </w:p>
    <w:p w:rsidR="009B4FCF" w:rsidRP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  <w:r w:rsidRPr="009B4FCF">
        <w:rPr>
          <w:rFonts w:ascii="Calibri" w:eastAsia="Times New Roman" w:hAnsi="Calibri" w:cs="Calibri"/>
          <w:color w:val="000000"/>
          <w:lang w:eastAsia="el-GR"/>
        </w:rPr>
        <w:t>"Διαφοροποίηση και ενδυνάμωση τοπικής οικονομίας"</w:t>
      </w:r>
    </w:p>
    <w:p w:rsidR="009B4FCF" w:rsidRP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</w:p>
    <w:p w:rsidR="009B4FCF" w:rsidRP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  <w:proofErr w:type="spellStart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Υποδράση</w:t>
      </w:r>
      <w:proofErr w:type="spellEnd"/>
      <w:r w:rsidRPr="009B4FC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 xml:space="preserve"> 19.2.3.5</w:t>
      </w:r>
    </w:p>
    <w:p w:rsid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  <w:r w:rsidRPr="009B4FCF">
        <w:rPr>
          <w:rFonts w:ascii="Calibri" w:eastAsia="Times New Roman" w:hAnsi="Calibri" w:cs="Calibri"/>
          <w:color w:val="000000"/>
          <w:lang w:eastAsia="el-GR"/>
        </w:rPr>
        <w:t>"Βελτίωση συνθηκών διαβίωσης και ποιότητα ζωής του τοπικού πληθυσμού"</w:t>
      </w:r>
    </w:p>
    <w:p w:rsid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</w:p>
    <w:p w:rsidR="009B4FCF" w:rsidRPr="009B4FCF" w:rsidRDefault="009B4FCF" w:rsidP="009B4FCF">
      <w:pPr>
        <w:shd w:val="clear" w:color="auto" w:fill="FFFFFF"/>
        <w:spacing w:line="240" w:lineRule="auto"/>
        <w:ind w:left="0"/>
        <w:jc w:val="left"/>
        <w:rPr>
          <w:rFonts w:ascii="Calibri" w:eastAsia="Times New Roman" w:hAnsi="Calibri" w:cs="Calibri"/>
          <w:color w:val="000000"/>
          <w:lang w:eastAsia="el-GR"/>
        </w:rPr>
      </w:pPr>
    </w:p>
    <w:p w:rsidR="009B4FCF" w:rsidRPr="009B4FCF" w:rsidRDefault="009B4FCF" w:rsidP="009B4FCF">
      <w:pPr>
        <w:jc w:val="center"/>
        <w:rPr>
          <w:b/>
        </w:rPr>
      </w:pPr>
    </w:p>
    <w:sectPr w:rsidR="009B4FCF" w:rsidRPr="009B4FCF" w:rsidSect="00EB2031">
      <w:pgSz w:w="11906" w:h="16838"/>
      <w:pgMar w:top="1440" w:right="1800" w:bottom="6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FCF"/>
    <w:rsid w:val="00105090"/>
    <w:rsid w:val="001E6A1B"/>
    <w:rsid w:val="007F7735"/>
    <w:rsid w:val="008F2480"/>
    <w:rsid w:val="00976BB8"/>
    <w:rsid w:val="009B4FCF"/>
    <w:rsid w:val="00B104B3"/>
    <w:rsid w:val="00C41C4E"/>
    <w:rsid w:val="00C933A7"/>
    <w:rsid w:val="00EB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16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4FC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2021-05-19T08:18:00Z</dcterms:created>
  <dcterms:modified xsi:type="dcterms:W3CDTF">2021-05-19T09:55:00Z</dcterms:modified>
</cp:coreProperties>
</file>